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rPr>
          <w:rFonts w:ascii="Arial" w:cs="Arial" w:eastAsia="Arial" w:hAnsi="Arial"/>
          <w:color w:val="7030a0"/>
          <w:sz w:val="52"/>
          <w:szCs w:val="52"/>
          <w:u w:val="none"/>
          <w:vertAlign w:val="baseline"/>
        </w:rPr>
      </w:pPr>
      <w:r w:rsidDel="00000000" w:rsidR="00000000" w:rsidRPr="00000000">
        <w:rPr>
          <w:rFonts w:ascii="Arial" w:cs="Arial" w:eastAsia="Arial" w:hAnsi="Arial"/>
          <w:b w:val="1"/>
          <w:color w:val="7030a0"/>
          <w:sz w:val="52"/>
          <w:szCs w:val="52"/>
          <w:u w:val="none"/>
          <w:vertAlign w:val="baseline"/>
          <w:rtl w:val="0"/>
        </w:rPr>
        <w:t xml:space="preserve">ANAPHYLAXIS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6062345</wp:posOffset>
            </wp:positionH>
            <wp:positionV relativeFrom="paragraph">
              <wp:posOffset>34925</wp:posOffset>
            </wp:positionV>
            <wp:extent cx="534670" cy="313055"/>
            <wp:effectExtent b="0" l="0" r="0" t="0"/>
            <wp:wrapNone/>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34670" cy="3130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7621</wp:posOffset>
            </wp:positionH>
            <wp:positionV relativeFrom="paragraph">
              <wp:posOffset>34925</wp:posOffset>
            </wp:positionV>
            <wp:extent cx="534670" cy="313055"/>
            <wp:effectExtent b="0" l="0" r="0" t="0"/>
            <wp:wrapNone/>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34670" cy="313055"/>
                    </a:xfrm>
                    <a:prstGeom prst="rect"/>
                    <a:ln/>
                  </pic:spPr>
                </pic:pic>
              </a:graphicData>
            </a:graphic>
          </wp:anchor>
        </w:drawing>
      </w:r>
    </w:p>
    <w:p w:rsidR="00000000" w:rsidDel="00000000" w:rsidP="00000000" w:rsidRDefault="00000000" w:rsidRPr="00000000" w14:paraId="00000002">
      <w:pPr>
        <w:ind w:left="709" w:firstLine="0"/>
        <w:jc w:val="both"/>
        <w:rPr>
          <w:rFonts w:ascii="Arial" w:cs="Arial" w:eastAsia="Arial" w:hAnsi="Arial"/>
          <w:b w:val="0"/>
          <w:u w:val="single"/>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7620</wp:posOffset>
            </wp:positionH>
            <wp:positionV relativeFrom="paragraph">
              <wp:posOffset>179705</wp:posOffset>
            </wp:positionV>
            <wp:extent cx="876300" cy="87630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76300" cy="876300"/>
                    </a:xfrm>
                    <a:prstGeom prst="rect"/>
                    <a:ln/>
                  </pic:spPr>
                </pic:pic>
              </a:graphicData>
            </a:graphic>
          </wp:anchor>
        </w:drawing>
      </w:r>
    </w:p>
    <w:p w:rsidR="00000000" w:rsidDel="00000000" w:rsidP="00000000" w:rsidRDefault="00000000" w:rsidRPr="00000000" w14:paraId="00000003">
      <w:pPr>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4">
      <w:pPr>
        <w:ind w:left="720" w:firstLine="72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Help for non-English speakers</w:t>
      </w:r>
    </w:p>
    <w:p w:rsidR="00000000" w:rsidDel="00000000" w:rsidP="00000000" w:rsidRDefault="00000000" w:rsidRPr="00000000" w14:paraId="00000005">
      <w:pPr>
        <w:ind w:left="144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If you need help to understand the information in this policy, please contact the Wilmot Road Primary School office on 03 5821 4953 or Wilmot.road.ps.shepparton@education.vic.gov.au</w:t>
      </w:r>
    </w:p>
    <w:p w:rsidR="00000000" w:rsidDel="00000000" w:rsidP="00000000" w:rsidRDefault="00000000" w:rsidRPr="00000000" w14:paraId="00000006">
      <w:pPr>
        <w:ind w:left="709" w:firstLine="0"/>
        <w:jc w:val="both"/>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07">
      <w:pPr>
        <w:ind w:left="709" w:firstLine="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8">
      <w:pPr>
        <w:ind w:left="709" w:firstLine="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0"/>
          <w:smallCaps w:val="0"/>
          <w:color w:val="ff0000"/>
          <w:sz w:val="20"/>
          <w:szCs w:val="20"/>
          <w:u w:val="single"/>
          <w:vertAlign w:val="baseline"/>
        </w:rPr>
      </w:pPr>
      <w:r w:rsidDel="00000000" w:rsidR="00000000" w:rsidRPr="00000000">
        <w:rPr>
          <w:rFonts w:ascii="Arial" w:cs="Arial" w:eastAsia="Arial" w:hAnsi="Arial"/>
          <w:b w:val="1"/>
          <w:smallCaps w:val="1"/>
          <w:color w:val="ff0000"/>
          <w:sz w:val="20"/>
          <w:szCs w:val="20"/>
          <w:u w:val="single"/>
          <w:vertAlign w:val="baseline"/>
          <w:rtl w:val="0"/>
        </w:rPr>
        <w:t xml:space="preserve">PURPOSE</w:t>
      </w:r>
      <w:r w:rsidDel="00000000" w:rsidR="00000000" w:rsidRPr="00000000">
        <w:rPr>
          <w:rtl w:val="0"/>
        </w:rPr>
      </w:r>
    </w:p>
    <w:p w:rsidR="00000000" w:rsidDel="00000000" w:rsidP="00000000" w:rsidRDefault="00000000" w:rsidRPr="00000000" w14:paraId="0000000A">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To explain to Wilmot Rd Primary School parents, carers, staff and students the processes and procedures in place to support students diagnosed as being at risk of suffering from anaphylaxis. This policy also ensures that Wilmot Rd Primary School is compliant with Ministerial Order 706 and the Department’s guidelines for anaphylaxis management.</w:t>
      </w:r>
    </w:p>
    <w:p w:rsidR="00000000" w:rsidDel="00000000" w:rsidP="00000000" w:rsidRDefault="00000000" w:rsidRPr="00000000" w14:paraId="0000000B">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0"/>
          <w:smallCaps w:val="0"/>
          <w:color w:val="ff0000"/>
          <w:sz w:val="20"/>
          <w:szCs w:val="20"/>
          <w:u w:val="single"/>
          <w:vertAlign w:val="baseline"/>
        </w:rPr>
      </w:pPr>
      <w:r w:rsidDel="00000000" w:rsidR="00000000" w:rsidRPr="00000000">
        <w:rPr>
          <w:rFonts w:ascii="Arial" w:cs="Arial" w:eastAsia="Arial" w:hAnsi="Arial"/>
          <w:b w:val="1"/>
          <w:smallCaps w:val="1"/>
          <w:color w:val="ff0000"/>
          <w:sz w:val="20"/>
          <w:szCs w:val="20"/>
          <w:u w:val="single"/>
          <w:vertAlign w:val="baseline"/>
          <w:rtl w:val="0"/>
        </w:rPr>
        <w:t xml:space="preserve">SCOPE</w:t>
      </w:r>
      <w:r w:rsidDel="00000000" w:rsidR="00000000" w:rsidRPr="00000000">
        <w:rPr>
          <w:rtl w:val="0"/>
        </w:rPr>
      </w:r>
    </w:p>
    <w:p w:rsidR="00000000" w:rsidDel="00000000" w:rsidP="00000000" w:rsidRDefault="00000000" w:rsidRPr="00000000" w14:paraId="0000000E">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This policy applies to:</w:t>
      </w:r>
    </w:p>
    <w:p w:rsidR="00000000" w:rsidDel="00000000" w:rsidP="00000000" w:rsidRDefault="00000000" w:rsidRPr="00000000" w14:paraId="0000000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staff, including casual relief staff and volunteers</w:t>
      </w:r>
    </w:p>
    <w:p w:rsidR="00000000" w:rsidDel="00000000" w:rsidP="00000000" w:rsidRDefault="00000000" w:rsidRPr="00000000" w14:paraId="000000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students who have been diagnosed with anaphylaxis, or who may require emergency treatment for an anaphylactic reaction, and their parents and carers.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jc w:val="both"/>
        <w:rPr>
          <w:rFonts w:ascii="Arial" w:cs="Arial" w:eastAsia="Arial" w:hAnsi="Arial"/>
          <w:b w:val="0"/>
          <w:smallCaps w:val="0"/>
          <w:color w:val="ff0000"/>
          <w:sz w:val="20"/>
          <w:szCs w:val="20"/>
          <w:u w:val="single"/>
          <w:vertAlign w:val="baseline"/>
        </w:rPr>
      </w:pPr>
      <w:r w:rsidDel="00000000" w:rsidR="00000000" w:rsidRPr="00000000">
        <w:rPr>
          <w:rFonts w:ascii="Arial" w:cs="Arial" w:eastAsia="Arial" w:hAnsi="Arial"/>
          <w:b w:val="1"/>
          <w:smallCaps w:val="1"/>
          <w:color w:val="ff0000"/>
          <w:sz w:val="20"/>
          <w:szCs w:val="20"/>
          <w:u w:val="single"/>
          <w:vertAlign w:val="baseline"/>
          <w:rtl w:val="0"/>
        </w:rPr>
        <w:t xml:space="preserve">POLICY</w:t>
      </w:r>
      <w:r w:rsidDel="00000000" w:rsidR="00000000" w:rsidRPr="00000000">
        <w:rPr>
          <w:rtl w:val="0"/>
        </w:rPr>
      </w:r>
    </w:p>
    <w:p w:rsidR="00000000" w:rsidDel="00000000" w:rsidP="00000000" w:rsidRDefault="00000000" w:rsidRPr="00000000" w14:paraId="00000013">
      <w:pPr>
        <w:jc w:val="both"/>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School Statement</w:t>
      </w:r>
      <w:r w:rsidDel="00000000" w:rsidR="00000000" w:rsidRPr="00000000">
        <w:rPr>
          <w:rtl w:val="0"/>
        </w:rPr>
      </w:r>
    </w:p>
    <w:p w:rsidR="00000000" w:rsidDel="00000000" w:rsidP="00000000" w:rsidRDefault="00000000" w:rsidRPr="00000000" w14:paraId="00000014">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Wilmot Rd Primary School will fully comply with Ministerial Order 706 and the associated guidelines published by the Department of Education and Training.</w:t>
      </w:r>
    </w:p>
    <w:p w:rsidR="00000000" w:rsidDel="00000000" w:rsidP="00000000" w:rsidRDefault="00000000" w:rsidRPr="00000000" w14:paraId="00000015">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0"/>
          <w:color w:val="ff0000"/>
          <w:sz w:val="20"/>
          <w:szCs w:val="20"/>
          <w:vertAlign w:val="baseline"/>
        </w:rPr>
      </w:pPr>
      <w:r w:rsidDel="00000000" w:rsidR="00000000" w:rsidRPr="00000000">
        <w:rPr>
          <w:rFonts w:ascii="Arial" w:cs="Arial" w:eastAsia="Arial" w:hAnsi="Arial"/>
          <w:b w:val="1"/>
          <w:color w:val="ff0000"/>
          <w:sz w:val="20"/>
          <w:szCs w:val="20"/>
          <w:vertAlign w:val="baseline"/>
          <w:rtl w:val="0"/>
        </w:rPr>
        <w:t xml:space="preserve">Anaphylaxis </w:t>
      </w:r>
      <w:r w:rsidDel="00000000" w:rsidR="00000000" w:rsidRPr="00000000">
        <w:rPr>
          <w:rtl w:val="0"/>
        </w:rPr>
      </w:r>
    </w:p>
    <w:p w:rsidR="00000000" w:rsidDel="00000000" w:rsidP="00000000" w:rsidRDefault="00000000" w:rsidRPr="00000000" w14:paraId="00000018">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Anaphylaxis is a severe allergic reaction that occurs after exposure to an allergen. The most common allergens for school-aged children are nuts, eggs, cow’s milk, fish, shellfish, wheat, soy, sesame, latex, certain insect stings and medication. </w:t>
      </w:r>
    </w:p>
    <w:p w:rsidR="00000000" w:rsidDel="00000000" w:rsidP="00000000" w:rsidRDefault="00000000" w:rsidRPr="00000000" w14:paraId="00000019">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jc w:val="both"/>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Symptoms</w:t>
      </w:r>
      <w:r w:rsidDel="00000000" w:rsidR="00000000" w:rsidRPr="00000000">
        <w:rPr>
          <w:rtl w:val="0"/>
        </w:rPr>
      </w:r>
    </w:p>
    <w:p w:rsidR="00000000" w:rsidDel="00000000" w:rsidP="00000000" w:rsidRDefault="00000000" w:rsidRPr="00000000" w14:paraId="0000001B">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Signs and symptoms of a mild to moderate allergic reaction can include:</w:t>
      </w:r>
    </w:p>
    <w:p w:rsidR="00000000" w:rsidDel="00000000" w:rsidP="00000000" w:rsidRDefault="00000000" w:rsidRPr="00000000" w14:paraId="0000001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swelling of the lips, face and eyes</w:t>
      </w:r>
    </w:p>
    <w:p w:rsidR="00000000" w:rsidDel="00000000" w:rsidP="00000000" w:rsidRDefault="00000000" w:rsidRPr="00000000" w14:paraId="0000001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hives or welts</w:t>
      </w:r>
    </w:p>
    <w:p w:rsidR="00000000" w:rsidDel="00000000" w:rsidP="00000000" w:rsidRDefault="00000000" w:rsidRPr="00000000" w14:paraId="0000001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tingling in the mouth.</w:t>
      </w:r>
    </w:p>
    <w:p w:rsidR="00000000" w:rsidDel="00000000" w:rsidP="00000000" w:rsidRDefault="00000000" w:rsidRPr="00000000" w14:paraId="0000001F">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Signs and symptoms of anaphylaxis, a severe allergic reaction, can include:</w:t>
      </w:r>
    </w:p>
    <w:p w:rsidR="00000000" w:rsidDel="00000000" w:rsidP="00000000" w:rsidRDefault="00000000" w:rsidRPr="00000000" w14:paraId="0000002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difficult/noisy breathing</w:t>
      </w:r>
    </w:p>
    <w:p w:rsidR="00000000" w:rsidDel="00000000" w:rsidP="00000000" w:rsidRDefault="00000000" w:rsidRPr="00000000" w14:paraId="0000002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swelling of tongue</w:t>
      </w:r>
    </w:p>
    <w:p w:rsidR="00000000" w:rsidDel="00000000" w:rsidP="00000000" w:rsidRDefault="00000000" w:rsidRPr="00000000" w14:paraId="0000002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difficulty talking and/or hoarse voice</w:t>
      </w:r>
    </w:p>
    <w:p w:rsidR="00000000" w:rsidDel="00000000" w:rsidP="00000000" w:rsidRDefault="00000000" w:rsidRPr="00000000" w14:paraId="0000002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wheeze or persistent cough</w:t>
      </w:r>
    </w:p>
    <w:p w:rsidR="00000000" w:rsidDel="00000000" w:rsidP="00000000" w:rsidRDefault="00000000" w:rsidRPr="00000000" w14:paraId="0000002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persistent dizziness or collapse</w:t>
      </w:r>
    </w:p>
    <w:p w:rsidR="00000000" w:rsidDel="00000000" w:rsidP="00000000" w:rsidRDefault="00000000" w:rsidRPr="00000000" w14:paraId="0000002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student appears pale or floppy</w:t>
      </w:r>
    </w:p>
    <w:p w:rsidR="00000000" w:rsidDel="00000000" w:rsidP="00000000" w:rsidRDefault="00000000" w:rsidRPr="00000000" w14:paraId="0000002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abdominal pain and/or vomiting.</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Symptoms usually develop within ten minutes and up to two hours after exposure to an allergen, but can appear within a few minutes. </w:t>
      </w:r>
    </w:p>
    <w:p w:rsidR="00000000" w:rsidDel="00000000" w:rsidP="00000000" w:rsidRDefault="00000000" w:rsidRPr="00000000" w14:paraId="00000029">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A">
      <w:pPr>
        <w:jc w:val="both"/>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Treatment</w:t>
      </w:r>
      <w:r w:rsidDel="00000000" w:rsidR="00000000" w:rsidRPr="00000000">
        <w:rPr>
          <w:rtl w:val="0"/>
        </w:rPr>
      </w:r>
    </w:p>
    <w:p w:rsidR="00000000" w:rsidDel="00000000" w:rsidP="00000000" w:rsidRDefault="00000000" w:rsidRPr="00000000" w14:paraId="0000002B">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Adrenaline given as an injection into the muscle of the outer mid-thigh is the first aid treatment for anaphylaxis.</w:t>
      </w:r>
    </w:p>
    <w:p w:rsidR="00000000" w:rsidDel="00000000" w:rsidP="00000000" w:rsidRDefault="00000000" w:rsidRPr="00000000" w14:paraId="0000002C">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Individuals diagnosed as being at risk of anaphylaxis are prescribed an adrenaline autoinjector for use in an emergency. These adrenaline autoinjectors are designed so that anyone can use them in an emergency.</w:t>
      </w:r>
    </w:p>
    <w:p w:rsidR="00000000" w:rsidDel="00000000" w:rsidP="00000000" w:rsidRDefault="00000000" w:rsidRPr="00000000" w14:paraId="0000002D">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E">
      <w:pPr>
        <w:pStyle w:val="Heading3"/>
        <w:spacing w:after="120" w:lineRule="auto"/>
        <w:jc w:val="both"/>
        <w:rPr>
          <w:rFonts w:ascii="Arial" w:cs="Arial" w:eastAsia="Arial" w:hAnsi="Arial"/>
          <w:b w:val="0"/>
          <w:color w:val="ff0000"/>
          <w:sz w:val="20"/>
          <w:szCs w:val="20"/>
          <w:vertAlign w:val="baseline"/>
        </w:rPr>
      </w:pPr>
      <w:r w:rsidDel="00000000" w:rsidR="00000000" w:rsidRPr="00000000">
        <w:rPr>
          <w:rFonts w:ascii="Arial" w:cs="Arial" w:eastAsia="Arial" w:hAnsi="Arial"/>
          <w:b w:val="1"/>
          <w:color w:val="ff0000"/>
          <w:sz w:val="20"/>
          <w:szCs w:val="20"/>
          <w:vertAlign w:val="baseline"/>
          <w:rtl w:val="0"/>
        </w:rPr>
        <w:t xml:space="preserve">Individual Anaphylaxis Management Plans </w:t>
      </w:r>
      <w:r w:rsidDel="00000000" w:rsidR="00000000" w:rsidRPr="00000000">
        <w:rPr>
          <w:rtl w:val="0"/>
        </w:rPr>
      </w:r>
    </w:p>
    <w:p w:rsidR="00000000" w:rsidDel="00000000" w:rsidP="00000000" w:rsidRDefault="00000000" w:rsidRPr="00000000" w14:paraId="0000002F">
      <w:pPr>
        <w:spacing w:after="1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All students at Wilmot Rd Primary School who are diagnosed by a medical practitioner as being at risk of suffering from an anaphylactic reaction must have an Individual Anaphylaxis Management Plan. When notified of an anaphylaxis diagnosis, the principal of Wilmot Rd Primary School is responsible for developing a plan in consultation with the student’s parents/carers. </w:t>
      </w:r>
    </w:p>
    <w:p w:rsidR="00000000" w:rsidDel="00000000" w:rsidP="00000000" w:rsidRDefault="00000000" w:rsidRPr="00000000" w14:paraId="00000030">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Where necessary, an Individual Anaphylaxis Management Plan will be in place as soon as practicable after a student enrols at Wilmot Rd Primary School and where possible, before the student’s first day. </w:t>
      </w:r>
    </w:p>
    <w:p w:rsidR="00000000" w:rsidDel="00000000" w:rsidP="00000000" w:rsidRDefault="00000000" w:rsidRPr="00000000" w14:paraId="00000031">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2">
      <w:pPr>
        <w:spacing w:after="1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Parents and carers must:</w:t>
      </w:r>
    </w:p>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obtain an ASCIA Action Plan for Anaphylaxis from the student’s medical practitioner and provide a copy to the school as soon as practicable</w:t>
      </w:r>
    </w:p>
    <w:p w:rsidR="00000000" w:rsidDel="00000000" w:rsidP="00000000" w:rsidRDefault="00000000" w:rsidRPr="00000000" w14:paraId="000000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immediately inform the school in writing if there is a relevant change in the student’s medical condition and obtain an updated ASCIA Action Plan for Anaphylaxis</w:t>
      </w:r>
    </w:p>
    <w:p w:rsidR="00000000" w:rsidDel="00000000" w:rsidP="00000000" w:rsidRDefault="00000000" w:rsidRPr="00000000" w14:paraId="000000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an up-to-date photo of the student for the ASCIA Action Plan for Anaphylaxis when that Plan is provided to the school and each time it is reviewed</w:t>
      </w:r>
    </w:p>
    <w:p w:rsidR="00000000" w:rsidDel="00000000" w:rsidP="00000000" w:rsidRDefault="00000000" w:rsidRPr="00000000" w14:paraId="000000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the school with a current adrenaline autoinjector for the student that has not expired;</w:t>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participate in annual reviews of the student’s Plan.</w:t>
      </w:r>
    </w:p>
    <w:p w:rsidR="00000000" w:rsidDel="00000000" w:rsidP="00000000" w:rsidRDefault="00000000" w:rsidRPr="00000000" w14:paraId="00000038">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Each student’s Individual Anaphylaxis Management Plan must include: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about the student’s medical condition that relates to allergies and the potential for anaphylactic reaction, including the type of allergies the student has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about the signs or symptoms the student might exhibit in the event of an allergic reaction based on a written diagnosis from a medical practitioner</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strategies to minimise the risk of exposure to known allergens while the student is under the care or supervision of school staff, including in the school yard, at camps and excursions, or at special events conducted, organised or attended by the school</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name of the person(s) responsible for implementing the risk minimisation strategies, which have been identified in the Plan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about where the student's medication will be stored</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student's emergency contact details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up-to-date ASCIA Action Plan for Anaphylaxis completed by the student’s medical practitioner.</w:t>
      </w:r>
    </w:p>
    <w:p w:rsidR="00000000" w:rsidDel="00000000" w:rsidP="00000000" w:rsidRDefault="00000000" w:rsidRPr="00000000" w14:paraId="00000040">
      <w:pPr>
        <w:jc w:val="both"/>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Review and updates to Individual Anaphylaxis Management Plans </w:t>
      </w:r>
      <w:r w:rsidDel="00000000" w:rsidR="00000000" w:rsidRPr="00000000">
        <w:rPr>
          <w:rtl w:val="0"/>
        </w:rPr>
      </w:r>
    </w:p>
    <w:p w:rsidR="00000000" w:rsidDel="00000000" w:rsidP="00000000" w:rsidRDefault="00000000" w:rsidRPr="00000000" w14:paraId="00000041">
      <w:pPr>
        <w:spacing w:after="1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student’s Individual Anaphylaxis Management Plan will be reviewed and updated on an annual basis in consultation with the student’s parents/carers. The plan will also be reviewed and, where necessary, updated in the following circumstances: </w:t>
      </w:r>
    </w:p>
    <w:p w:rsidR="00000000" w:rsidDel="00000000" w:rsidP="00000000" w:rsidRDefault="00000000" w:rsidRPr="00000000" w14:paraId="000000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soon as practicable after the student has an anaphylactic reaction at school</w:t>
      </w:r>
    </w:p>
    <w:p w:rsidR="00000000" w:rsidDel="00000000" w:rsidP="00000000" w:rsidRDefault="00000000" w:rsidRPr="00000000" w14:paraId="000000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student’s medical condition, insofar as it relates to allergy and the potential for anaphylactic reaction, changes</w:t>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student is participating in an off-site activity, including camps and excursions, or at special events including fetes and concerts. </w:t>
      </w:r>
    </w:p>
    <w:p w:rsidR="00000000" w:rsidDel="00000000" w:rsidP="00000000" w:rsidRDefault="00000000" w:rsidRPr="00000000" w14:paraId="00000045">
      <w:pPr>
        <w:spacing w:after="1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Our school may also consider updating a student’s Individual Anaphylaxis Management Plan if there is an identified and significant increase in the student’s potential risk of exposure to allergens at school. </w:t>
      </w:r>
    </w:p>
    <w:p w:rsidR="00000000" w:rsidDel="00000000" w:rsidP="00000000" w:rsidRDefault="00000000" w:rsidRPr="00000000" w14:paraId="00000046">
      <w:pPr>
        <w:pStyle w:val="Heading3"/>
        <w:spacing w:after="120" w:lineRule="auto"/>
        <w:jc w:val="both"/>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Location of plans and adrenaline autoinjectors</w:t>
      </w:r>
      <w:r w:rsidDel="00000000" w:rsidR="00000000" w:rsidRPr="00000000">
        <w:rPr>
          <w:rtl w:val="0"/>
        </w:rPr>
      </w:r>
    </w:p>
    <w:p w:rsidR="00000000" w:rsidDel="00000000" w:rsidP="00000000" w:rsidRDefault="00000000" w:rsidRPr="00000000" w14:paraId="00000047">
      <w:pPr>
        <w:spacing w:after="180" w:lineRule="auto"/>
        <w:ind w:left="720"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copy of each student’s Individual Anaphylaxis Management Plan will be stored with their ASCIA Action Plan for Anaphylaxis at Sick Bay, medication will be stored and labelled with their name at Sick Bay together with adrenaline autoinjectors for general use. </w:t>
      </w:r>
    </w:p>
    <w:p w:rsidR="00000000" w:rsidDel="00000000" w:rsidP="00000000" w:rsidRDefault="00000000" w:rsidRPr="00000000" w14:paraId="00000048">
      <w:pPr>
        <w:spacing w:after="180" w:lineRule="auto"/>
        <w:ind w:left="720"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9">
      <w:pPr>
        <w:pStyle w:val="Heading3"/>
        <w:spacing w:after="120" w:lineRule="auto"/>
        <w:jc w:val="both"/>
        <w:rPr>
          <w:rFonts w:ascii="Arial" w:cs="Arial" w:eastAsia="Arial" w:hAnsi="Arial"/>
          <w:color w:val="ff0000"/>
          <w:sz w:val="20"/>
          <w:szCs w:val="20"/>
          <w:vertAlign w:val="baseline"/>
        </w:rPr>
      </w:pPr>
      <w:r w:rsidDel="00000000" w:rsidR="00000000" w:rsidRPr="00000000">
        <w:rPr>
          <w:rFonts w:ascii="Arial" w:cs="Arial" w:eastAsia="Arial" w:hAnsi="Arial"/>
          <w:b w:val="1"/>
          <w:color w:val="ff0000"/>
          <w:sz w:val="20"/>
          <w:szCs w:val="20"/>
          <w:vertAlign w:val="baseline"/>
          <w:rtl w:val="0"/>
        </w:rPr>
        <w:t xml:space="preserve">Risk Minimisation Strategies</w:t>
      </w: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spacing w:after="84"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Risk minimisation strategies that Wilmot Rd Primary School has put in place to reduce the possibility of a student suffering from an anaphylactic reaction at school include:</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classroom activities (including class rotations and specialist classes)</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between classes and other breaks</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canteens</w:t>
      </w:r>
    </w:p>
    <w:p w:rsidR="00000000" w:rsidDel="00000000" w:rsidP="00000000" w:rsidRDefault="00000000" w:rsidRPr="00000000" w14:paraId="000000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recess and lunchtimes</w:t>
      </w:r>
    </w:p>
    <w:p w:rsidR="00000000" w:rsidDel="00000000" w:rsidP="00000000" w:rsidRDefault="00000000" w:rsidRPr="00000000" w14:paraId="0000005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 and after school</w:t>
      </w:r>
    </w:p>
    <w:p w:rsidR="00000000" w:rsidDel="00000000" w:rsidP="00000000" w:rsidRDefault="00000000" w:rsidRPr="00000000" w14:paraId="0000005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84"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camps and excursions, or at special events conducted, organised or attended by the school (e.g. class parties, cultural days, fetes, concerts, events at other schools, competitions or incursions).</w:t>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spacing w:after="84" w:lineRule="auto"/>
        <w:ind w:left="720"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To reduce the risk of a student suffering from an anaphylactic reaction at Wilmot Rd Primary School we have put in place the following strategies:</w:t>
      </w:r>
    </w:p>
    <w:p w:rsidR="00000000" w:rsidDel="00000000" w:rsidP="00000000" w:rsidRDefault="00000000" w:rsidRPr="00000000" w14:paraId="000000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 and students are regularly reminded to wash their hands after eating;</w:t>
      </w:r>
    </w:p>
    <w:p w:rsidR="00000000" w:rsidDel="00000000" w:rsidP="00000000" w:rsidRDefault="00000000" w:rsidRPr="00000000" w14:paraId="000000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students are discouraged from sharing food</w:t>
      </w:r>
    </w:p>
    <w:p w:rsidR="00000000" w:rsidDel="00000000" w:rsidP="00000000" w:rsidRDefault="00000000" w:rsidRPr="00000000" w14:paraId="000000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garbage bins at school are to remain covered with lids to reduce the risk of attracting insects</w:t>
      </w:r>
    </w:p>
    <w:p w:rsidR="00000000" w:rsidDel="00000000" w:rsidP="00000000" w:rsidRDefault="00000000" w:rsidRPr="00000000" w14:paraId="000000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gloves must be worn when picking up papers or rubbish in the playground; </w:t>
      </w:r>
    </w:p>
    <w:p w:rsidR="00000000" w:rsidDel="00000000" w:rsidP="00000000" w:rsidRDefault="00000000" w:rsidRPr="00000000" w14:paraId="000000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school canteen staff are trained in appropriate food handling to reduce the risk of cross-contamination</w:t>
      </w:r>
    </w:p>
    <w:p w:rsidR="00000000" w:rsidDel="00000000" w:rsidP="00000000" w:rsidRDefault="00000000" w:rsidRPr="00000000" w14:paraId="000000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year groups will be informed of allergens that must be avoided in advance of class parties, events or birthdays</w:t>
      </w:r>
    </w:p>
    <w:p w:rsidR="00000000" w:rsidDel="00000000" w:rsidP="00000000" w:rsidRDefault="00000000" w:rsidRPr="00000000" w14:paraId="000000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general use EpiPen will be stored at the sick bay.</w:t>
      </w:r>
    </w:p>
    <w:p w:rsidR="00000000" w:rsidDel="00000000" w:rsidP="00000000" w:rsidRDefault="00000000" w:rsidRPr="00000000" w14:paraId="000000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84" w:before="0" w:line="240" w:lineRule="auto"/>
        <w:ind w:left="1440" w:right="0" w:firstLine="0"/>
        <w:jc w:val="both"/>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5D">
      <w:pPr>
        <w:pStyle w:val="Heading3"/>
        <w:spacing w:after="120" w:lineRule="auto"/>
        <w:jc w:val="both"/>
        <w:rPr>
          <w:rFonts w:ascii="Arial" w:cs="Arial" w:eastAsia="Arial" w:hAnsi="Arial"/>
          <w:b w:val="0"/>
          <w:color w:val="ff0000"/>
          <w:sz w:val="20"/>
          <w:szCs w:val="20"/>
          <w:vertAlign w:val="baseline"/>
        </w:rPr>
      </w:pPr>
      <w:r w:rsidDel="00000000" w:rsidR="00000000" w:rsidRPr="00000000">
        <w:rPr>
          <w:rFonts w:ascii="Arial" w:cs="Arial" w:eastAsia="Arial" w:hAnsi="Arial"/>
          <w:b w:val="1"/>
          <w:color w:val="ff0000"/>
          <w:sz w:val="20"/>
          <w:szCs w:val="20"/>
          <w:vertAlign w:val="baseline"/>
          <w:rtl w:val="0"/>
        </w:rPr>
        <w:t xml:space="preserve">Adrenaline autoinjectors for general use</w:t>
      </w:r>
      <w:r w:rsidDel="00000000" w:rsidR="00000000" w:rsidRPr="00000000">
        <w:rPr>
          <w:rtl w:val="0"/>
        </w:rPr>
      </w:r>
    </w:p>
    <w:p w:rsidR="00000000" w:rsidDel="00000000" w:rsidP="00000000" w:rsidRDefault="00000000" w:rsidRPr="00000000" w14:paraId="0000005E">
      <w:pPr>
        <w:spacing w:after="18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Wilmot Rd Primary School will maintain a supply of adrenaline autoinjectors for general use, as a back-up to those provided by parents and carers for specific students, and also for students who may suffer from a first-time reaction at school. </w:t>
      </w:r>
    </w:p>
    <w:p w:rsidR="00000000" w:rsidDel="00000000" w:rsidP="00000000" w:rsidRDefault="00000000" w:rsidRPr="00000000" w14:paraId="0000005F">
      <w:pPr>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Adrenaline autoinjectors for general use will be stored at sick Bay and labelled “general use”. </w:t>
      </w:r>
    </w:p>
    <w:p w:rsidR="00000000" w:rsidDel="00000000" w:rsidP="00000000" w:rsidRDefault="00000000" w:rsidRPr="00000000" w14:paraId="00000060">
      <w:pPr>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w:t>
      </w:r>
      <w:r w:rsidDel="00000000" w:rsidR="00000000" w:rsidRPr="00000000">
        <w:rPr>
          <w:rFonts w:ascii="Arial" w:cs="Arial" w:eastAsia="Arial" w:hAnsi="Arial"/>
          <w:sz w:val="20"/>
          <w:szCs w:val="20"/>
          <w:rtl w:val="0"/>
        </w:rPr>
        <w:t xml:space="preserve">Principal </w:t>
      </w:r>
      <w:r w:rsidDel="00000000" w:rsidR="00000000" w:rsidRPr="00000000">
        <w:rPr>
          <w:rFonts w:ascii="Arial" w:cs="Arial" w:eastAsia="Arial" w:hAnsi="Arial"/>
          <w:color w:val="000000"/>
          <w:sz w:val="20"/>
          <w:szCs w:val="20"/>
          <w:vertAlign w:val="baseline"/>
          <w:rtl w:val="0"/>
        </w:rPr>
        <w:t xml:space="preserve"> is responsible for arranging the purchase of adrenaline autoinjectors for general use, and will consider:</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number of students enrolled at Wilmot Rd Primary School at risk of anaphylaxis</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accessibility of adrenaline autoinjectors supplied by parents</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availability of a sufficient supply of autoinjectors for general use in different locations at the school, as well as at camps, excursions and events</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limited life span of adrenaline autoinjectors, and the need for general use adrenaline autoinjectors to be replaced when used or prior to expiry. </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weight of the students at risk of anaphylaxis to determine the correct dosage of adrenaline autoinjector/to purchase,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3"/>
        <w:spacing w:after="120" w:lineRule="auto"/>
        <w:jc w:val="both"/>
        <w:rPr>
          <w:rFonts w:ascii="Arial" w:cs="Arial" w:eastAsia="Arial" w:hAnsi="Arial"/>
          <w:b w:val="0"/>
          <w:color w:val="ff0000"/>
          <w:sz w:val="20"/>
          <w:szCs w:val="20"/>
          <w:vertAlign w:val="baseline"/>
        </w:rPr>
      </w:pPr>
      <w:r w:rsidDel="00000000" w:rsidR="00000000" w:rsidRPr="00000000">
        <w:rPr>
          <w:rFonts w:ascii="Arial" w:cs="Arial" w:eastAsia="Arial" w:hAnsi="Arial"/>
          <w:b w:val="1"/>
          <w:color w:val="ff0000"/>
          <w:sz w:val="20"/>
          <w:szCs w:val="20"/>
          <w:vertAlign w:val="baseline"/>
          <w:rtl w:val="0"/>
        </w:rPr>
        <w:t xml:space="preserve">Emergency Response </w:t>
      </w:r>
      <w:r w:rsidDel="00000000" w:rsidR="00000000" w:rsidRPr="00000000">
        <w:rPr>
          <w:rtl w:val="0"/>
        </w:rPr>
      </w:r>
    </w:p>
    <w:p w:rsidR="00000000" w:rsidDel="00000000" w:rsidP="00000000" w:rsidRDefault="00000000" w:rsidRPr="00000000" w14:paraId="00000068">
      <w:pPr>
        <w:spacing w:after="84"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rsidR="00000000" w:rsidDel="00000000" w:rsidP="00000000" w:rsidRDefault="00000000" w:rsidRPr="00000000" w14:paraId="00000069">
      <w:pPr>
        <w:spacing w:after="84"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 complete and up-to-date list of students identified as being at risk of anaphylaxis is maintained by the school nurse and stored at Sick Bay For camps, excursions and special events, a designated staff member will be responsible for maintaining a list of students at risk of anaphylaxis attending the special event, together with their Individual Anaphylaxis Management Plans and adrenaline autoinjectors, where appropriate. </w:t>
      </w:r>
    </w:p>
    <w:p w:rsidR="00000000" w:rsidDel="00000000" w:rsidP="00000000" w:rsidRDefault="00000000" w:rsidRPr="00000000" w14:paraId="0000006A">
      <w:pPr>
        <w:spacing w:after="84"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If a student experiences an anaphylactic reaction at school or during a school activity, school staff must:</w:t>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
        <w:gridCol w:w="8028"/>
        <w:tblGridChange w:id="0">
          <w:tblGrid>
            <w:gridCol w:w="988"/>
            <w:gridCol w:w="8028"/>
          </w:tblGrid>
        </w:tblGridChange>
      </w:tblGrid>
      <w:tr>
        <w:trPr>
          <w:cantSplit w:val="0"/>
          <w:tblHeader w:val="0"/>
        </w:trPr>
        <w:tc>
          <w:tcPr>
            <w:vAlign w:val="top"/>
          </w:tcPr>
          <w:p w:rsidR="00000000" w:rsidDel="00000000" w:rsidP="00000000" w:rsidRDefault="00000000" w:rsidRPr="00000000" w14:paraId="0000006B">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Step</w:t>
            </w:r>
            <w:r w:rsidDel="00000000" w:rsidR="00000000" w:rsidRPr="00000000">
              <w:rPr>
                <w:rtl w:val="0"/>
              </w:rPr>
            </w:r>
          </w:p>
        </w:tc>
        <w:tc>
          <w:tcPr>
            <w:vAlign w:val="top"/>
          </w:tcPr>
          <w:p w:rsidR="00000000" w:rsidDel="00000000" w:rsidP="00000000" w:rsidRDefault="00000000" w:rsidRPr="00000000" w14:paraId="0000006C">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Action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D">
            <w:pPr>
              <w:numPr>
                <w:ilvl w:val="0"/>
                <w:numId w:val="18"/>
              </w:numPr>
              <w:ind w:left="720" w:hanging="360"/>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Lay the person flat</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not allow them to stand or walk</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breathing is difficult, allow them to sit</w:t>
            </w:r>
          </w:p>
          <w:p w:rsidR="00000000" w:rsidDel="00000000" w:rsidP="00000000" w:rsidRDefault="00000000" w:rsidRPr="00000000" w14:paraId="00000071">
            <w:pPr>
              <w:numPr>
                <w:ilvl w:val="0"/>
                <w:numId w:val="19"/>
              </w:numPr>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 calm and reassuring</w:t>
            </w:r>
          </w:p>
          <w:p w:rsidR="00000000" w:rsidDel="00000000" w:rsidP="00000000" w:rsidRDefault="00000000" w:rsidRPr="00000000" w14:paraId="00000072">
            <w:pPr>
              <w:numPr>
                <w:ilvl w:val="0"/>
                <w:numId w:val="19"/>
              </w:numPr>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Do not leave them alone</w:t>
            </w:r>
          </w:p>
          <w:p w:rsidR="00000000" w:rsidDel="00000000" w:rsidP="00000000" w:rsidRDefault="00000000" w:rsidRPr="00000000" w14:paraId="00000073">
            <w:pPr>
              <w:numPr>
                <w:ilvl w:val="0"/>
                <w:numId w:val="19"/>
              </w:numPr>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Seek assistance from another staff member or reliable student to locate the student’s adrenaline autoinjector or the school’s general use autoinjector, and the student’s Individual Anaphylaxis Management Plan, stored at Sick Bay</w:t>
            </w:r>
          </w:p>
          <w:p w:rsidR="00000000" w:rsidDel="00000000" w:rsidP="00000000" w:rsidRDefault="00000000" w:rsidRPr="00000000" w14:paraId="00000074">
            <w:pPr>
              <w:numPr>
                <w:ilvl w:val="0"/>
                <w:numId w:val="19"/>
              </w:numPr>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the student’s plan is not immediately available, or they appear to be experiencing a first-time reaction, follow steps 2 to 5</w:t>
            </w:r>
          </w:p>
        </w:tc>
      </w:tr>
      <w:tr>
        <w:trPr>
          <w:cantSplit w:val="0"/>
          <w:tblHeader w:val="0"/>
        </w:trPr>
        <w:tc>
          <w:tcPr>
            <w:vAlign w:val="top"/>
          </w:tcPr>
          <w:p w:rsidR="00000000" w:rsidDel="00000000" w:rsidP="00000000" w:rsidRDefault="00000000" w:rsidRPr="00000000" w14:paraId="00000075">
            <w:pPr>
              <w:numPr>
                <w:ilvl w:val="0"/>
                <w:numId w:val="18"/>
              </w:numPr>
              <w:ind w:left="720" w:hanging="360"/>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76">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Administer an EpiPen or EpiPen Jr (if the student is under 20kg)</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Remove from plastic container</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a fist around the EpiPen and pull off the blue safety release (cap)</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 orange end against the student’s outer mid-thigh (with or without clothing)</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Push down hard until a click is heard or felt and hold in place for 3 seconds</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Remove EpiPen</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 the time the EpiPen is administered</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Retain the used EpiPen to be handed to ambulance paramedics along with the time of administration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Administer an Anapen® 500, Anapen® 300, or Anapen® Jr.</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Pull off the black needle shield</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Pull off grey safety cap (from the red button)</w:t>
            </w:r>
          </w:p>
          <w:p w:rsidR="00000000" w:rsidDel="00000000" w:rsidP="00000000" w:rsidRDefault="00000000" w:rsidRPr="00000000" w14:paraId="000000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 needle end firmly against the student's outer mid-thigh at 90 degrees (with or without clothing)</w:t>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Press red button so it clicks and hold for 3 seconds</w:t>
            </w:r>
          </w:p>
          <w:p w:rsidR="00000000" w:rsidDel="00000000" w:rsidP="00000000" w:rsidRDefault="00000000" w:rsidRPr="00000000" w14:paraId="0000008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Remove Anapen®</w:t>
            </w:r>
          </w:p>
          <w:p w:rsidR="00000000" w:rsidDel="00000000" w:rsidP="00000000" w:rsidRDefault="00000000" w:rsidRPr="00000000" w14:paraId="000000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 the time the Anapen is administered</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Retain the used Anapen to be handed to ambulance paramedics along with the time of administration</w:t>
            </w:r>
          </w:p>
        </w:tc>
      </w:tr>
      <w:tr>
        <w:trPr>
          <w:cantSplit w:val="0"/>
          <w:tblHeader w:val="0"/>
        </w:trPr>
        <w:tc>
          <w:tcPr>
            <w:vAlign w:val="top"/>
          </w:tcPr>
          <w:p w:rsidR="00000000" w:rsidDel="00000000" w:rsidP="00000000" w:rsidRDefault="00000000" w:rsidRPr="00000000" w14:paraId="00000086">
            <w:pPr>
              <w:numPr>
                <w:ilvl w:val="0"/>
                <w:numId w:val="18"/>
              </w:numPr>
              <w:ind w:left="720" w:hanging="360"/>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87">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Call an ambulance (000)</w:t>
            </w:r>
          </w:p>
        </w:tc>
      </w:tr>
      <w:tr>
        <w:trPr>
          <w:cantSplit w:val="0"/>
          <w:tblHeader w:val="0"/>
        </w:trPr>
        <w:tc>
          <w:tcPr>
            <w:vAlign w:val="top"/>
          </w:tcPr>
          <w:p w:rsidR="00000000" w:rsidDel="00000000" w:rsidP="00000000" w:rsidRDefault="00000000" w:rsidRPr="00000000" w14:paraId="00000088">
            <w:pPr>
              <w:numPr>
                <w:ilvl w:val="0"/>
                <w:numId w:val="18"/>
              </w:numPr>
              <w:ind w:left="720" w:hanging="360"/>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89">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there is no improvement or severe symptoms progress (as described in the ASCIA Action Plan for Anaphylaxis), further adrenaline doses may be administered every five minutes, if other adrenaline autoinjectors are available.</w:t>
            </w:r>
          </w:p>
        </w:tc>
      </w:tr>
      <w:tr>
        <w:trPr>
          <w:cantSplit w:val="0"/>
          <w:tblHeader w:val="0"/>
        </w:trPr>
        <w:tc>
          <w:tcPr>
            <w:vAlign w:val="top"/>
          </w:tcPr>
          <w:p w:rsidR="00000000" w:rsidDel="00000000" w:rsidP="00000000" w:rsidRDefault="00000000" w:rsidRPr="00000000" w14:paraId="0000008A">
            <w:pPr>
              <w:numPr>
                <w:ilvl w:val="0"/>
                <w:numId w:val="18"/>
              </w:numPr>
              <w:ind w:left="720" w:hanging="360"/>
              <w:jc w:val="both"/>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8B">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Contact the student’s emergency contacts.</w:t>
            </w:r>
          </w:p>
        </w:tc>
      </w:tr>
    </w:tbl>
    <w:p w:rsidR="00000000" w:rsidDel="00000000" w:rsidP="00000000" w:rsidRDefault="00000000" w:rsidRPr="00000000" w14:paraId="0000008C">
      <w:pPr>
        <w:spacing w:after="84" w:lineRule="auto"/>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8D">
      <w:pPr>
        <w:spacing w:after="84"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If a student appears to be having a severe allergic reaction, but has not been previously diagnosed with an allergy or being at risk of anaphylaxis, school staff should follow steps 2 – 5 as above.</w:t>
      </w:r>
    </w:p>
    <w:p w:rsidR="00000000" w:rsidDel="00000000" w:rsidP="00000000" w:rsidRDefault="00000000" w:rsidRPr="00000000" w14:paraId="0000008E">
      <w:pPr>
        <w:spacing w:after="280" w:before="28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Schools can use either the EpiPen® </w:t>
      </w:r>
      <w:r w:rsidDel="00000000" w:rsidR="00000000" w:rsidRPr="00000000">
        <w:rPr>
          <w:rFonts w:ascii="Arial" w:cs="Arial" w:eastAsia="Arial" w:hAnsi="Arial"/>
          <w:b w:val="1"/>
          <w:color w:val="000000"/>
          <w:sz w:val="20"/>
          <w:szCs w:val="20"/>
          <w:vertAlign w:val="baseline"/>
          <w:rtl w:val="0"/>
        </w:rPr>
        <w:t xml:space="preserve">and Anapen® on any student </w:t>
      </w:r>
      <w:r w:rsidDel="00000000" w:rsidR="00000000" w:rsidRPr="00000000">
        <w:rPr>
          <w:rFonts w:ascii="Arial" w:cs="Arial" w:eastAsia="Arial" w:hAnsi="Arial"/>
          <w:color w:val="000000"/>
          <w:sz w:val="20"/>
          <w:szCs w:val="20"/>
          <w:vertAlign w:val="baseline"/>
          <w:rtl w:val="0"/>
        </w:rPr>
        <w:t xml:space="preserve">suspected to be experiencing an anaphylactic reaction, regardless of the device prescribed in their ASCIA Action Plan.</w:t>
      </w:r>
    </w:p>
    <w:p w:rsidR="00000000" w:rsidDel="00000000" w:rsidP="00000000" w:rsidRDefault="00000000" w:rsidRPr="00000000" w14:paraId="0000008F">
      <w:pPr>
        <w:spacing w:after="280" w:before="28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Where possible, schools should consider using the correct dose of adrenaline autoinjector depending on the weight of the student. However, in an emergency if there is no other option available, any device should be administered to the student.</w:t>
      </w:r>
    </w:p>
    <w:p w:rsidR="00000000" w:rsidDel="00000000" w:rsidP="00000000" w:rsidRDefault="00000000" w:rsidRPr="00000000" w14:paraId="00000090">
      <w:pPr>
        <w:spacing w:after="280" w:before="280" w:lineRule="auto"/>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91">
      <w:pPr>
        <w:rPr>
          <w:rFonts w:ascii="Arial" w:cs="Arial" w:eastAsia="Arial" w:hAnsi="Arial"/>
          <w:b w:val="0"/>
          <w:color w:val="ff0000"/>
          <w:sz w:val="20"/>
          <w:szCs w:val="20"/>
          <w:vertAlign w:val="baseline"/>
        </w:rPr>
      </w:pPr>
      <w:r w:rsidDel="00000000" w:rsidR="00000000" w:rsidRPr="00000000">
        <w:rPr>
          <w:rFonts w:ascii="Arial" w:cs="Arial" w:eastAsia="Arial" w:hAnsi="Arial"/>
          <w:b w:val="1"/>
          <w:color w:val="ff0000"/>
          <w:sz w:val="20"/>
          <w:szCs w:val="20"/>
          <w:vertAlign w:val="baseline"/>
          <w:rtl w:val="0"/>
        </w:rPr>
        <w:t xml:space="preserve">COMMUNICATION PLAN:</w:t>
      </w:r>
      <w:r w:rsidDel="00000000" w:rsidR="00000000" w:rsidRPr="00000000">
        <w:rPr>
          <w:rtl w:val="0"/>
        </w:rPr>
      </w:r>
    </w:p>
    <w:p w:rsidR="00000000" w:rsidDel="00000000" w:rsidP="00000000" w:rsidRDefault="00000000" w:rsidRPr="00000000" w14:paraId="00000092">
      <w:pPr>
        <w:rPr>
          <w:rFonts w:ascii="Arial" w:cs="Arial" w:eastAsia="Arial" w:hAnsi="Arial"/>
          <w:b w:val="0"/>
          <w:color w:val="ff0000"/>
          <w:sz w:val="20"/>
          <w:szCs w:val="20"/>
          <w:vertAlign w:val="baseline"/>
        </w:rPr>
      </w:pPr>
      <w:r w:rsidDel="00000000" w:rsidR="00000000" w:rsidRPr="00000000">
        <w:rPr>
          <w:rtl w:val="0"/>
        </w:rPr>
      </w:r>
    </w:p>
    <w:p w:rsidR="00000000" w:rsidDel="00000000" w:rsidP="00000000" w:rsidRDefault="00000000" w:rsidRPr="00000000" w14:paraId="000000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This policy will be available on Wilmot Rd Primary School website so that parents and other members of the school community can easily access information about Wilmot Rd School’s anaphylaxis management procedures.  The parents and carers of students who are enrolled at Wilmot Rd Primary School and are identified as being at risk of anaphylaxis will also be provided with a copy of the policy.</w:t>
      </w:r>
    </w:p>
    <w:p w:rsidR="00000000" w:rsidDel="00000000" w:rsidP="00000000" w:rsidRDefault="00000000" w:rsidRPr="00000000" w14:paraId="0000009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Principal is responsible for ensuring that all relevant staff, including casual relief staff, canteen staff and volunteers are aware of this policy and Wilmot Rd Primary School’s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p>
    <w:p w:rsidR="00000000" w:rsidDel="00000000" w:rsidP="00000000" w:rsidRDefault="00000000" w:rsidRPr="00000000" w14:paraId="00000096">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7">
      <w:pPr>
        <w:jc w:val="both"/>
        <w:rPr>
          <w:rFonts w:ascii="Arial" w:cs="Arial" w:eastAsia="Arial" w:hAnsi="Arial"/>
          <w:i w:val="0"/>
          <w:sz w:val="20"/>
          <w:szCs w:val="20"/>
          <w:vertAlign w:val="baseline"/>
        </w:rPr>
      </w:pPr>
      <w:r w:rsidDel="00000000" w:rsidR="00000000" w:rsidRPr="00000000">
        <w:rPr>
          <w:rFonts w:ascii="Arial" w:cs="Arial" w:eastAsia="Arial" w:hAnsi="Arial"/>
          <w:sz w:val="20"/>
          <w:szCs w:val="20"/>
          <w:vertAlign w:val="baseline"/>
          <w:rtl w:val="0"/>
        </w:rPr>
        <w:t xml:space="preserve">The Principal is also responsible for ensuring relevant staff are trained and briefed in anaphylaxis management, consistent with the Department’s </w:t>
      </w:r>
      <w:hyperlink r:id="rId9">
        <w:r w:rsidDel="00000000" w:rsidR="00000000" w:rsidRPr="00000000">
          <w:rPr>
            <w:rFonts w:ascii="Arial" w:cs="Arial" w:eastAsia="Arial" w:hAnsi="Arial"/>
            <w:color w:val="0000ff"/>
            <w:sz w:val="20"/>
            <w:szCs w:val="20"/>
            <w:u w:val="single"/>
            <w:vertAlign w:val="baseline"/>
            <w:rtl w:val="0"/>
          </w:rPr>
          <w:t xml:space="preserve">Anaphylaxis Guidelines</w:t>
        </w:r>
      </w:hyperlink>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14:paraId="0000009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9">
      <w:pPr>
        <w:spacing w:after="84" w:lineRule="auto"/>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9A">
      <w:pPr>
        <w:pStyle w:val="Heading3"/>
        <w:spacing w:after="120" w:lineRule="auto"/>
        <w:jc w:val="both"/>
        <w:rPr>
          <w:rFonts w:ascii="Arial" w:cs="Arial" w:eastAsia="Arial" w:hAnsi="Arial"/>
          <w:color w:val="ff0000"/>
          <w:sz w:val="20"/>
          <w:szCs w:val="20"/>
          <w:vertAlign w:val="baseline"/>
        </w:rPr>
      </w:pPr>
      <w:r w:rsidDel="00000000" w:rsidR="00000000" w:rsidRPr="00000000">
        <w:rPr>
          <w:rFonts w:ascii="Arial" w:cs="Arial" w:eastAsia="Arial" w:hAnsi="Arial"/>
          <w:b w:val="1"/>
          <w:color w:val="ff0000"/>
          <w:sz w:val="20"/>
          <w:szCs w:val="20"/>
          <w:vertAlign w:val="baseline"/>
          <w:rtl w:val="0"/>
        </w:rPr>
        <w:t xml:space="preserve">STAFF TRAINING:</w:t>
      </w:r>
      <w:r w:rsidDel="00000000" w:rsidR="00000000" w:rsidRPr="00000000">
        <w:rPr>
          <w:rtl w:val="0"/>
        </w:rPr>
      </w:r>
    </w:p>
    <w:p w:rsidR="00000000" w:rsidDel="00000000" w:rsidP="00000000" w:rsidRDefault="00000000" w:rsidRPr="00000000" w14:paraId="0000009B">
      <w:pPr>
        <w:spacing w:after="84"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Principal will ensure that the following school staff are appropriately trained in anaphylaxis management:</w:t>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84" w:before="0" w:line="240" w:lineRule="auto"/>
        <w:ind w:left="51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School staff who conduct classes attended by students who are at risk of anaphylaxis</w:t>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51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School Nurse and One Office staff have received training, based on a risk assessment of the particular circumstances at your school. School staff who conduct specialist classes, all admin staff, first aiders and any other member of school staff as required by the Principal based on a risk assessment.</w:t>
      </w:r>
    </w:p>
    <w:p w:rsidR="00000000" w:rsidDel="00000000" w:rsidP="00000000" w:rsidRDefault="00000000" w:rsidRPr="00000000" w14:paraId="0000009E">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Staff who are required to undertake training must have completed:</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approved face-to-face anaphylaxis management training course in the last three years, or</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approved online anaphylaxis management training course in the last two years. e.g. ASCIA eTraining course (with 22303VIC, or 22300VIC or 10313NAT)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Wilmot Road Primary School Shepparton uses the following training course: Online training — ASCIA Anaphylaxis e-training for Victorian Schools with Anaphylaxis Supervisors completing Course in Verifying the Correct Use of Adrenaline Injector Devices 22579VIC.</w:t>
      </w:r>
    </w:p>
    <w:p w:rsidR="00000000" w:rsidDel="00000000" w:rsidP="00000000" w:rsidRDefault="00000000" w:rsidRPr="00000000" w14:paraId="000000A3">
      <w:pPr>
        <w:spacing w:after="18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sz w:val="20"/>
          <w:szCs w:val="20"/>
          <w:vertAlign w:val="baseline"/>
          <w:rtl w:val="0"/>
        </w:rPr>
        <w:t xml:space="preserve">Staff are also required to attend a briefing on anaphylaxis management on this policy at least twice per year (with the first briefing to be held at the beginning of the school year), facilitated by a staff member who has successfully completed an anaphylaxis management course within the last 2 years. Each briefing will address:</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causes, symptoms and treatment of anaphylaxis</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identities of students with a medical condition that relates to allergies and the potential for anaphylactic reaction, and where their medication is located</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to use an adrenaline autoinjector, including hands on practice with a trainer adrenaline autoinjector</w:t>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school’s general first aid and emergency response procedures</w:t>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location of, and access to, adrenaline autoinjectors that have been provided by parents or purchased by the school for general use. </w:t>
      </w:r>
    </w:p>
    <w:p w:rsidR="00000000" w:rsidDel="00000000" w:rsidP="00000000" w:rsidRDefault="00000000" w:rsidRPr="00000000" w14:paraId="000000AA">
      <w:pPr>
        <w:spacing w:after="1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When a new student enrols at Wilmot Rd Primary School who is at risk of anaphylaxis, the Principal will develop an interim plan in consultation with the student’s parents and ensure that appropriate staff are trained and briefed as soon as possible. </w:t>
      </w:r>
    </w:p>
    <w:p w:rsidR="00000000" w:rsidDel="00000000" w:rsidP="00000000" w:rsidRDefault="00000000" w:rsidRPr="00000000" w14:paraId="000000AB">
      <w:pPr>
        <w:spacing w:after="18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record of staff training courses and briefings will be maintained by the School Nurse and kept in a</w:t>
      </w:r>
      <w:r w:rsidDel="00000000" w:rsidR="00000000" w:rsidRPr="00000000">
        <w:rPr>
          <w:rFonts w:ascii="Arial" w:cs="Arial" w:eastAsia="Arial" w:hAnsi="Arial"/>
          <w:sz w:val="20"/>
          <w:szCs w:val="20"/>
          <w:rtl w:val="0"/>
        </w:rPr>
        <w:t xml:space="preserve"> hard copy training register in </w:t>
      </w:r>
      <w:r w:rsidDel="00000000" w:rsidR="00000000" w:rsidRPr="00000000">
        <w:rPr>
          <w:rFonts w:ascii="Arial" w:cs="Arial" w:eastAsia="Arial" w:hAnsi="Arial"/>
          <w:sz w:val="20"/>
          <w:szCs w:val="20"/>
          <w:vertAlign w:val="baseline"/>
          <w:rtl w:val="0"/>
        </w:rPr>
        <w:t xml:space="preserve">the sick</w:t>
      </w: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sz w:val="20"/>
          <w:szCs w:val="20"/>
          <w:vertAlign w:val="baseline"/>
          <w:rtl w:val="0"/>
        </w:rPr>
        <w:t xml:space="preserve">ay. </w:t>
      </w:r>
    </w:p>
    <w:p w:rsidR="00000000" w:rsidDel="00000000" w:rsidP="00000000" w:rsidRDefault="00000000" w:rsidRPr="00000000" w14:paraId="000000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Principal will ensure that while students at risk of anaphylaxis are under the care or supervision of the school outside of normal class activities, including in the school yard, at camps and excursions, or at special event days, there is a sufficient number of school staff present who have been trained in anaphylaxis management.</w:t>
      </w:r>
    </w:p>
    <w:p w:rsidR="00000000" w:rsidDel="00000000" w:rsidP="00000000" w:rsidRDefault="00000000" w:rsidRPr="00000000" w14:paraId="000000AD">
      <w:pPr>
        <w:rPr>
          <w:vertAlign w:val="baseline"/>
        </w:rPr>
      </w:pPr>
      <w:r w:rsidDel="00000000" w:rsidR="00000000" w:rsidRPr="00000000">
        <w:rPr>
          <w:rtl w:val="0"/>
        </w:rPr>
      </w:r>
    </w:p>
    <w:p w:rsidR="00000000" w:rsidDel="00000000" w:rsidP="00000000" w:rsidRDefault="00000000" w:rsidRPr="00000000" w14:paraId="000000AE">
      <w:pPr>
        <w:jc w:val="both"/>
        <w:rPr>
          <w:rFonts w:ascii="Arial" w:cs="Arial" w:eastAsia="Arial" w:hAnsi="Arial"/>
          <w:b w:val="0"/>
          <w:smallCaps w:val="0"/>
          <w:color w:val="ff0000"/>
          <w:sz w:val="20"/>
          <w:szCs w:val="20"/>
          <w:u w:val="single"/>
          <w:vertAlign w:val="baseline"/>
        </w:rPr>
      </w:pPr>
      <w:r w:rsidDel="00000000" w:rsidR="00000000" w:rsidRPr="00000000">
        <w:rPr>
          <w:rFonts w:ascii="Arial" w:cs="Arial" w:eastAsia="Arial" w:hAnsi="Arial"/>
          <w:b w:val="1"/>
          <w:smallCaps w:val="1"/>
          <w:color w:val="ff0000"/>
          <w:sz w:val="20"/>
          <w:szCs w:val="20"/>
          <w:u w:val="single"/>
          <w:vertAlign w:val="baseline"/>
          <w:rtl w:val="0"/>
        </w:rPr>
        <w:t xml:space="preserve">FURTHER INFORMATION AND RESOURCES</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Policy and Advisory Library: </w:t>
      </w:r>
    </w:p>
    <w:p w:rsidR="00000000" w:rsidDel="00000000" w:rsidP="00000000" w:rsidRDefault="00000000" w:rsidRPr="00000000" w14:paraId="000000B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Anaphylaxis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Allergy &amp; Anaphylaxis Australia: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Risk minimisation strategies</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ASCIA Guidelines:  </w:t>
      </w:r>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Schooling and childcare</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Royal Children’s Hospital: </w:t>
      </w:r>
      <w:hyperlink r:id="rId1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Allergy and immunology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Health Care Needs</w:t>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Student Health Support Plan</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Medication Authority Form</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jc w:val="both"/>
        <w:rPr>
          <w:rFonts w:ascii="Arial" w:cs="Arial" w:eastAsia="Arial" w:hAnsi="Arial"/>
          <w:b w:val="0"/>
          <w:color w:val="ff0000"/>
          <w:sz w:val="20"/>
          <w:szCs w:val="20"/>
          <w:u w:val="single"/>
          <w:vertAlign w:val="baseline"/>
        </w:rPr>
      </w:pPr>
      <w:r w:rsidDel="00000000" w:rsidR="00000000" w:rsidRPr="00000000">
        <w:rPr>
          <w:rFonts w:ascii="Arial" w:cs="Arial" w:eastAsia="Arial" w:hAnsi="Arial"/>
          <w:b w:val="1"/>
          <w:color w:val="ff0000"/>
          <w:sz w:val="20"/>
          <w:szCs w:val="20"/>
          <w:u w:val="single"/>
          <w:vertAlign w:val="baseline"/>
          <w:rtl w:val="0"/>
        </w:rPr>
        <w:t xml:space="preserve">Related Legislation</w:t>
      </w:r>
      <w:r w:rsidDel="00000000" w:rsidR="00000000" w:rsidRPr="00000000">
        <w:rPr>
          <w:rtl w:val="0"/>
        </w:rPr>
      </w:r>
    </w:p>
    <w:p w:rsidR="00000000" w:rsidDel="00000000" w:rsidP="00000000" w:rsidRDefault="00000000" w:rsidRPr="00000000" w14:paraId="000000B9">
      <w:pPr>
        <w:numPr>
          <w:ilvl w:val="0"/>
          <w:numId w:val="9"/>
        </w:numPr>
        <w:ind w:left="720" w:hanging="360"/>
        <w:jc w:val="both"/>
        <w:rPr>
          <w:rFonts w:ascii="Arial" w:cs="Arial" w:eastAsia="Arial" w:hAnsi="Arial"/>
          <w:b w:val="0"/>
          <w:sz w:val="20"/>
          <w:szCs w:val="20"/>
          <w:u w:val="single"/>
          <w:vertAlign w:val="baseline"/>
        </w:rPr>
      </w:pPr>
      <w:r w:rsidDel="00000000" w:rsidR="00000000" w:rsidRPr="00000000">
        <w:rPr>
          <w:rFonts w:ascii="Arial" w:cs="Arial" w:eastAsia="Arial" w:hAnsi="Arial"/>
          <w:sz w:val="20"/>
          <w:szCs w:val="20"/>
          <w:vertAlign w:val="baseline"/>
          <w:rtl w:val="0"/>
        </w:rPr>
        <w:t xml:space="preserve">Ministerial Order 706</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principal will complete the Department’s Annual Risk Management Checklist for anaphylaxis management to assist with the evaluation and review of this policy and the support provided to students at risk of anaphylaxis. </w:t>
      </w:r>
    </w:p>
    <w:p w:rsidR="00000000" w:rsidDel="00000000" w:rsidP="00000000" w:rsidRDefault="00000000" w:rsidRPr="00000000" w14:paraId="000000BC">
      <w:pPr>
        <w:jc w:val="both"/>
        <w:rPr>
          <w:rFonts w:ascii="Arial" w:cs="Arial" w:eastAsia="Arial" w:hAnsi="Arial"/>
          <w:b w:val="0"/>
          <w:color w:val="ff0000"/>
          <w:sz w:val="20"/>
          <w:szCs w:val="20"/>
          <w:u w:val="single"/>
          <w:vertAlign w:val="baseline"/>
        </w:rPr>
      </w:pPr>
      <w:r w:rsidDel="00000000" w:rsidR="00000000" w:rsidRPr="00000000">
        <w:rPr>
          <w:rtl w:val="0"/>
        </w:rPr>
      </w:r>
    </w:p>
    <w:p w:rsidR="00000000" w:rsidDel="00000000" w:rsidP="00000000" w:rsidRDefault="00000000" w:rsidRPr="00000000" w14:paraId="000000BD">
      <w:pPr>
        <w:jc w:val="both"/>
        <w:rPr>
          <w:rFonts w:ascii="Arial" w:cs="Arial" w:eastAsia="Arial" w:hAnsi="Arial"/>
          <w:b w:val="0"/>
          <w:color w:val="ff0000"/>
          <w:sz w:val="20"/>
          <w:szCs w:val="20"/>
          <w:u w:val="single"/>
          <w:vertAlign w:val="baseline"/>
        </w:rPr>
      </w:pPr>
      <w:r w:rsidDel="00000000" w:rsidR="00000000" w:rsidRPr="00000000">
        <w:rPr>
          <w:rtl w:val="0"/>
        </w:rPr>
      </w:r>
    </w:p>
    <w:p w:rsidR="00000000" w:rsidDel="00000000" w:rsidP="00000000" w:rsidRDefault="00000000" w:rsidRPr="00000000" w14:paraId="000000BE">
      <w:pPr>
        <w:jc w:val="both"/>
        <w:rPr>
          <w:rFonts w:ascii="Arial" w:cs="Arial" w:eastAsia="Arial" w:hAnsi="Arial"/>
          <w:b w:val="0"/>
          <w:smallCaps w:val="0"/>
          <w:color w:val="ff0000"/>
          <w:sz w:val="20"/>
          <w:szCs w:val="20"/>
          <w:vertAlign w:val="baseline"/>
        </w:rPr>
      </w:pPr>
      <w:r w:rsidDel="00000000" w:rsidR="00000000" w:rsidRPr="00000000">
        <w:rPr>
          <w:rFonts w:ascii="Arial" w:cs="Arial" w:eastAsia="Arial" w:hAnsi="Arial"/>
          <w:b w:val="1"/>
          <w:smallCaps w:val="1"/>
          <w:color w:val="ff0000"/>
          <w:sz w:val="20"/>
          <w:szCs w:val="20"/>
          <w:vertAlign w:val="baseline"/>
          <w:rtl w:val="0"/>
        </w:rPr>
        <w:t xml:space="preserve">POLICY REVIEW AND APPROVAL</w:t>
      </w:r>
      <w:r w:rsidDel="00000000" w:rsidR="00000000" w:rsidRPr="00000000">
        <w:rPr>
          <w:rtl w:val="0"/>
        </w:rPr>
      </w:r>
    </w:p>
    <w:p w:rsidR="00000000" w:rsidDel="00000000" w:rsidP="00000000" w:rsidRDefault="00000000" w:rsidRPr="00000000" w14:paraId="000000BF">
      <w:pPr>
        <w:jc w:val="both"/>
        <w:rPr>
          <w:rFonts w:ascii="Arial" w:cs="Arial" w:eastAsia="Arial" w:hAnsi="Arial"/>
          <w:b w:val="0"/>
          <w:smallCaps w:val="0"/>
          <w:color w:val="ff0000"/>
          <w:sz w:val="20"/>
          <w:szCs w:val="20"/>
          <w:vertAlign w:val="baseline"/>
        </w:rPr>
      </w:pPr>
      <w:r w:rsidDel="00000000" w:rsidR="00000000" w:rsidRPr="00000000">
        <w:rPr>
          <w:rFonts w:ascii="Arial" w:cs="Arial" w:eastAsia="Arial" w:hAnsi="Arial"/>
          <w:b w:val="1"/>
          <w:smallCaps w:val="1"/>
          <w:color w:val="ff0000"/>
          <w:sz w:val="20"/>
          <w:szCs w:val="20"/>
          <w:vertAlign w:val="baseline"/>
          <w:rtl w:val="0"/>
        </w:rPr>
        <w:t xml:space="preserve"> </w:t>
      </w:r>
      <w:r w:rsidDel="00000000" w:rsidR="00000000" w:rsidRPr="00000000">
        <w:rPr>
          <w:rtl w:val="0"/>
        </w:rPr>
      </w:r>
    </w:p>
    <w:tbl>
      <w:tblPr>
        <w:tblStyle w:val="Table2"/>
        <w:tblW w:w="6812.0" w:type="dxa"/>
        <w:jc w:val="left"/>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552"/>
        <w:gridCol w:w="3260"/>
        <w:tblGridChange w:id="0">
          <w:tblGrid>
            <w:gridCol w:w="3552"/>
            <w:gridCol w:w="32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Policy last reviewed </w:t>
            </w:r>
          </w:p>
        </w:tc>
        <w:tc>
          <w:tcPr>
            <w:tcBorders>
              <w:top w:color="000000" w:space="0" w:sz="6" w:val="single"/>
              <w:left w:color="000000" w:space="0" w:sz="0" w:val="nil"/>
              <w:bottom w:color="000000" w:space="0" w:sz="6" w:val="single"/>
              <w:right w:color="000000" w:space="0" w:sz="6" w:val="single"/>
            </w:tcBorders>
            <w:vAlign w:val="top"/>
          </w:tcPr>
          <w:p w:rsidR="00000000" w:rsidDel="00000000" w:rsidP="00000000" w:rsidRDefault="00000000" w:rsidRPr="00000000" w14:paraId="000000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May 2025</w:t>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top"/>
          </w:tcPr>
          <w:p w:rsidR="00000000" w:rsidDel="00000000" w:rsidP="00000000" w:rsidRDefault="00000000" w:rsidRPr="00000000" w14:paraId="000000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Approved by </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Principal</w:t>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top"/>
          </w:tcPr>
          <w:p w:rsidR="00000000" w:rsidDel="00000000" w:rsidP="00000000" w:rsidRDefault="00000000" w:rsidRPr="00000000" w14:paraId="000000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Next scheduled review date </w:t>
            </w:r>
          </w:p>
        </w:tc>
        <w:tc>
          <w:tcPr>
            <w:tcBorders>
              <w:top w:color="000000" w:space="0" w:sz="0" w:val="nil"/>
              <w:left w:color="000000" w:space="0" w:sz="0" w:val="nil"/>
              <w:bottom w:color="000000" w:space="0" w:sz="6" w:val="single"/>
              <w:right w:color="000000" w:space="0" w:sz="6" w:val="single"/>
            </w:tcBorders>
            <w:vAlign w:val="top"/>
          </w:tcPr>
          <w:p w:rsidR="00000000" w:rsidDel="00000000" w:rsidP="00000000" w:rsidRDefault="00000000" w:rsidRPr="00000000" w14:paraId="000000C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May 2026</w:t>
            </w:r>
          </w:p>
        </w:tc>
      </w:tr>
    </w:tbl>
    <w:p w:rsidR="00000000" w:rsidDel="00000000" w:rsidP="00000000" w:rsidRDefault="00000000" w:rsidRPr="00000000" w14:paraId="000000C6">
      <w:pPr>
        <w:jc w:val="both"/>
        <w:rPr>
          <w:b w:val="0"/>
          <w:color w:val="ff0000"/>
          <w:u w:val="single"/>
          <w:vertAlign w:val="baseline"/>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jc w:val="right"/>
      <w:rPr>
        <w:sz w:val="20"/>
        <w:szCs w:val="2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510" w:hanging="170"/>
      </w:pPr>
      <w:rPr>
        <w:rFonts w:ascii="Noto Sans Symbols" w:cs="Noto Sans Symbols" w:eastAsia="Noto Sans Symbols" w:hAnsi="Noto Sans Symbols"/>
        <w:b w:val="0"/>
        <w:i w:val="0"/>
        <w:sz w:val="14"/>
        <w:szCs w:val="14"/>
        <w:vertAlign w:val="baseline"/>
      </w:rPr>
    </w:lvl>
    <w:lvl w:ilvl="1">
      <w:start w:val="1"/>
      <w:numFmt w:val="bullet"/>
      <w:lvlText w:val="o"/>
      <w:lvlJc w:val="left"/>
      <w:pPr>
        <w:ind w:left="1780" w:hanging="360"/>
      </w:pPr>
      <w:rPr>
        <w:rFonts w:ascii="Courier New" w:cs="Courier New" w:eastAsia="Courier New" w:hAnsi="Courier New"/>
        <w:vertAlign w:val="baseline"/>
      </w:rPr>
    </w:lvl>
    <w:lvl w:ilvl="2">
      <w:start w:val="1"/>
      <w:numFmt w:val="bullet"/>
      <w:lvlText w:val="▪"/>
      <w:lvlJc w:val="left"/>
      <w:pPr>
        <w:ind w:left="2500" w:hanging="360"/>
      </w:pPr>
      <w:rPr>
        <w:rFonts w:ascii="Noto Sans Symbols" w:cs="Noto Sans Symbols" w:eastAsia="Noto Sans Symbols" w:hAnsi="Noto Sans Symbols"/>
        <w:vertAlign w:val="baseline"/>
      </w:rPr>
    </w:lvl>
    <w:lvl w:ilvl="3">
      <w:start w:val="1"/>
      <w:numFmt w:val="bullet"/>
      <w:lvlText w:val="●"/>
      <w:lvlJc w:val="left"/>
      <w:pPr>
        <w:ind w:left="3220" w:hanging="360"/>
      </w:pPr>
      <w:rPr>
        <w:rFonts w:ascii="Noto Sans Symbols" w:cs="Noto Sans Symbols" w:eastAsia="Noto Sans Symbols" w:hAnsi="Noto Sans Symbols"/>
        <w:vertAlign w:val="baseline"/>
      </w:rPr>
    </w:lvl>
    <w:lvl w:ilvl="4">
      <w:start w:val="1"/>
      <w:numFmt w:val="bullet"/>
      <w:lvlText w:val="o"/>
      <w:lvlJc w:val="left"/>
      <w:pPr>
        <w:ind w:left="3940" w:hanging="360"/>
      </w:pPr>
      <w:rPr>
        <w:rFonts w:ascii="Courier New" w:cs="Courier New" w:eastAsia="Courier New" w:hAnsi="Courier New"/>
        <w:vertAlign w:val="baseline"/>
      </w:rPr>
    </w:lvl>
    <w:lvl w:ilvl="5">
      <w:start w:val="1"/>
      <w:numFmt w:val="bullet"/>
      <w:lvlText w:val="▪"/>
      <w:lvlJc w:val="left"/>
      <w:pPr>
        <w:ind w:left="4660" w:hanging="360"/>
      </w:pPr>
      <w:rPr>
        <w:rFonts w:ascii="Noto Sans Symbols" w:cs="Noto Sans Symbols" w:eastAsia="Noto Sans Symbols" w:hAnsi="Noto Sans Symbols"/>
        <w:vertAlign w:val="baseline"/>
      </w:rPr>
    </w:lvl>
    <w:lvl w:ilvl="6">
      <w:start w:val="1"/>
      <w:numFmt w:val="bullet"/>
      <w:lvlText w:val="●"/>
      <w:lvlJc w:val="left"/>
      <w:pPr>
        <w:ind w:left="5380" w:hanging="360"/>
      </w:pPr>
      <w:rPr>
        <w:rFonts w:ascii="Noto Sans Symbols" w:cs="Noto Sans Symbols" w:eastAsia="Noto Sans Symbols" w:hAnsi="Noto Sans Symbols"/>
        <w:vertAlign w:val="baseline"/>
      </w:rPr>
    </w:lvl>
    <w:lvl w:ilvl="7">
      <w:start w:val="1"/>
      <w:numFmt w:val="bullet"/>
      <w:lvlText w:val="o"/>
      <w:lvlJc w:val="left"/>
      <w:pPr>
        <w:ind w:left="6100" w:hanging="360"/>
      </w:pPr>
      <w:rPr>
        <w:rFonts w:ascii="Courier New" w:cs="Courier New" w:eastAsia="Courier New" w:hAnsi="Courier New"/>
        <w:vertAlign w:val="baseline"/>
      </w:rPr>
    </w:lvl>
    <w:lvl w:ilvl="8">
      <w:start w:val="1"/>
      <w:numFmt w:val="bullet"/>
      <w:lvlText w:val="▪"/>
      <w:lvlJc w:val="left"/>
      <w:pPr>
        <w:ind w:left="682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b w:val="1"/>
      <w:color w:val="ff0000"/>
      <w:sz w:val="56"/>
      <w:szCs w:val="56"/>
      <w:vertAlign w:val="baseline"/>
    </w:rPr>
  </w:style>
  <w:style w:type="paragraph" w:styleId="Heading2">
    <w:name w:val="heading 2"/>
    <w:basedOn w:val="Normal"/>
    <w:next w:val="Normal"/>
    <w:pPr>
      <w:keepNext w:val="1"/>
      <w:jc w:val="center"/>
    </w:pPr>
    <w:rPr>
      <w:rFonts w:ascii="Verdana" w:cs="Verdana" w:eastAsia="Verdana" w:hAnsi="Verdana"/>
      <w:b w:val="1"/>
      <w:sz w:val="20"/>
      <w:szCs w:val="20"/>
      <w:vertAlign w:val="baseline"/>
    </w:rPr>
  </w:style>
  <w:style w:type="paragraph" w:styleId="Heading3">
    <w:name w:val="heading 3"/>
    <w:basedOn w:val="Normal"/>
    <w:next w:val="Normal"/>
    <w:pPr>
      <w:keepNext w:val="1"/>
      <w:jc w:val="center"/>
    </w:pPr>
    <w:rPr>
      <w:b w:val="1"/>
      <w:color w:val="000080"/>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709"/>
      <w:jc w:val="center"/>
    </w:pPr>
    <w:rPr>
      <w:b w:val="1"/>
      <w:sz w:val="24"/>
      <w:szCs w:val="24"/>
      <w:u w:val="single"/>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AU"/>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AU"/>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character" w:styleId="BodyText2Char">
    <w:name w:val="Body Text 2 Char"/>
    <w:next w:val="BodyText2Char"/>
    <w:autoRedefine w:val="0"/>
    <w:hidden w:val="0"/>
    <w:qFormat w:val="0"/>
    <w:rPr>
      <w:w w:val="100"/>
      <w:position w:val="-1"/>
      <w:sz w:val="24"/>
      <w:szCs w:val="24"/>
      <w:effect w:val="none"/>
      <w:vertAlign w:val="baseline"/>
      <w:cs w:val="0"/>
      <w:em w:val="none"/>
      <w:lang w:eastAsia="en-US"/>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AU"/>
    </w:rPr>
  </w:style>
  <w:style w:type="table" w:styleId="TableGrid1">
    <w:name w:val="Table Grid1"/>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TableGrid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Bullet">
    <w:name w:val="List Bullet"/>
    <w:basedOn w:val="Normal"/>
    <w:next w:val="ListBullet"/>
    <w:autoRedefine w:val="0"/>
    <w:hidden w:val="0"/>
    <w:qFormat w:val="0"/>
    <w:pPr>
      <w:numPr>
        <w:ilvl w:val="0"/>
        <w:numId w:val="16"/>
      </w:numPr>
      <w:suppressAutoHyphens w:val="1"/>
      <w:spacing w:after="84" w:line="1" w:lineRule="atLeast"/>
      <w:ind w:leftChars="-1" w:rightChars="0" w:firstLineChars="-1"/>
      <w:textDirection w:val="btLr"/>
      <w:textAlignment w:val="top"/>
      <w:outlineLvl w:val="0"/>
    </w:pPr>
    <w:rPr>
      <w:rFonts w:ascii="Arial" w:hAnsi="Arial"/>
      <w:color w:val="000000"/>
      <w:w w:val="100"/>
      <w:position w:val="-1"/>
      <w:sz w:val="20"/>
      <w:szCs w:val="24"/>
      <w:effect w:val="none"/>
      <w:vertAlign w:val="baseline"/>
      <w:cs w:val="0"/>
      <w:em w:val="none"/>
      <w:lang w:bidi="ar-SA" w:eastAsia="en-US" w:val="en-AU"/>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textrun">
    <w:name w:val="normaltextrun"/>
    <w:next w:val="normaltextrun"/>
    <w:autoRedefine w:val="0"/>
    <w:hidden w:val="0"/>
    <w:qFormat w:val="0"/>
    <w:rPr>
      <w:w w:val="100"/>
      <w:position w:val="-1"/>
      <w:effect w:val="none"/>
      <w:vertAlign w:val="baseline"/>
      <w:cs w:val="0"/>
      <w:em w:val="none"/>
      <w:lang/>
    </w:rPr>
  </w:style>
  <w:style w:type="character" w:styleId="eop">
    <w:name w:val="eop"/>
    <w:next w:val="eop"/>
    <w:autoRedefine w:val="0"/>
    <w:hidden w:val="0"/>
    <w:qFormat w:val="0"/>
    <w:rPr>
      <w:w w:val="100"/>
      <w:position w:val="-1"/>
      <w:effect w:val="none"/>
      <w:vertAlign w:val="baseline"/>
      <w:cs w:val="0"/>
      <w:em w:val="none"/>
      <w:lang/>
    </w:rPr>
  </w:style>
  <w:style w:type="paragraph" w:styleId="paragraph">
    <w:name w:val="paragraph"/>
    <w:basedOn w:val="Normal"/>
    <w:next w:val="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AU" w:val="en-AU"/>
    </w:rPr>
  </w:style>
  <w:style w:type="paragraph" w:styleId="Subtitle">
    <w:name w:val="Subtitle"/>
    <w:basedOn w:val="Normal"/>
    <w:next w:val="Normal"/>
    <w:pPr>
      <w:ind w:left="709"/>
      <w:jc w:val="center"/>
    </w:pPr>
    <w:rPr>
      <w:b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dugate.eduweb.vic.gov.au/edulibrary/Schools/teachers/health/riskminimisation.pdf" TargetMode="External"/><Relationship Id="rId10" Type="http://schemas.openxmlformats.org/officeDocument/2006/relationships/hyperlink" Target="https://www2.education.vic.gov.au/pal/anaphylaxis/policy" TargetMode="External"/><Relationship Id="rId13" Type="http://schemas.openxmlformats.org/officeDocument/2006/relationships/hyperlink" Target="https://www.rch.org.au/allergy/about_us/Allergy_and_Immunology/" TargetMode="External"/><Relationship Id="rId12" Type="http://schemas.openxmlformats.org/officeDocument/2006/relationships/hyperlink" Target="https://allergyfacts.org.au/allergy-management/schooling-childca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anaphylaxis/guidance"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8m4gBqucO/HIYraXhd6WDcCzw==">CgMxLjA4AHIhMXZWbF9YSVQ1MlRfRi1JdWlRVThocHFSaTVQMTlMSVFO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2025-03-25T00:40:00Z</dcterms:created>
  <dc:creator>seaHall</dc:creator>
</cp:coreProperties>
</file>

<file path=docProps/custom.xml><?xml version="1.0" encoding="utf-8"?>
<Properties xmlns="http://schemas.openxmlformats.org/officeDocument/2006/custom-properties" xmlns:vt="http://schemas.openxmlformats.org/officeDocument/2006/docPropsVTypes"/>
</file>